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C27D4" w14:textId="25313E1C" w:rsidR="00FD0D40" w:rsidRDefault="00FD0D40" w:rsidP="00FD0D40">
      <w:pPr>
        <w:jc w:val="center"/>
        <w:rPr>
          <w:rFonts w:ascii="Times New Roman" w:hAnsi="Times New Roman" w:cs="Times New Roman"/>
          <w:sz w:val="26"/>
          <w:szCs w:val="26"/>
        </w:rPr>
      </w:pPr>
      <w:r>
        <w:rPr>
          <w:rFonts w:ascii="Times New Roman" w:hAnsi="Times New Roman" w:cs="Times New Roman"/>
          <w:sz w:val="26"/>
          <w:szCs w:val="26"/>
        </w:rPr>
        <w:t>Proposta Gruppo di Lavoro SIDEA</w:t>
      </w:r>
    </w:p>
    <w:p w14:paraId="47C416C8" w14:textId="77777777" w:rsidR="00FD0D40" w:rsidRDefault="00FD0D40" w:rsidP="00FD0D40">
      <w:pPr>
        <w:jc w:val="center"/>
        <w:rPr>
          <w:rFonts w:ascii="Times New Roman" w:hAnsi="Times New Roman" w:cs="Times New Roman"/>
          <w:sz w:val="26"/>
          <w:szCs w:val="26"/>
        </w:rPr>
      </w:pPr>
    </w:p>
    <w:p w14:paraId="5A080116" w14:textId="77777777" w:rsidR="00FD0D40" w:rsidRDefault="00FD0D40" w:rsidP="00FD0D40">
      <w:pPr>
        <w:jc w:val="center"/>
        <w:rPr>
          <w:rFonts w:ascii="Times New Roman" w:hAnsi="Times New Roman" w:cs="Times New Roman"/>
          <w:sz w:val="26"/>
          <w:szCs w:val="26"/>
        </w:rPr>
      </w:pPr>
    </w:p>
    <w:p w14:paraId="2ECB719C" w14:textId="30DE269D" w:rsidR="00292219" w:rsidRPr="00FD0D40" w:rsidRDefault="00FD0D40" w:rsidP="00FD0D40">
      <w:pPr>
        <w:jc w:val="center"/>
        <w:rPr>
          <w:rFonts w:ascii="Times New Roman" w:hAnsi="Times New Roman" w:cs="Times New Roman"/>
          <w:sz w:val="26"/>
          <w:szCs w:val="26"/>
        </w:rPr>
      </w:pPr>
      <w:r w:rsidRPr="00FD0D40">
        <w:rPr>
          <w:rFonts w:ascii="Times New Roman" w:hAnsi="Times New Roman" w:cs="Times New Roman"/>
          <w:sz w:val="26"/>
          <w:szCs w:val="26"/>
        </w:rPr>
        <w:t>SISTEMI DELLA CONOSCENZA E POLITICHE IN AMBITO AKIS</w:t>
      </w:r>
    </w:p>
    <w:p w14:paraId="58D8A526" w14:textId="77777777" w:rsidR="00515DF8" w:rsidRPr="00FD0D40" w:rsidRDefault="00515DF8">
      <w:pPr>
        <w:rPr>
          <w:rFonts w:ascii="Times New Roman" w:hAnsi="Times New Roman" w:cs="Times New Roman"/>
        </w:rPr>
      </w:pPr>
    </w:p>
    <w:p w14:paraId="00FE5127" w14:textId="77777777" w:rsidR="00515DF8" w:rsidRPr="00FD0D40" w:rsidRDefault="00515DF8">
      <w:pPr>
        <w:rPr>
          <w:rFonts w:ascii="Times New Roman" w:hAnsi="Times New Roman" w:cs="Times New Roman"/>
        </w:rPr>
      </w:pPr>
    </w:p>
    <w:p w14:paraId="7E05872A" w14:textId="001E8F46" w:rsidR="00515DF8" w:rsidRPr="00FD0D40" w:rsidRDefault="00515DF8">
      <w:pPr>
        <w:rPr>
          <w:rFonts w:ascii="Times New Roman" w:hAnsi="Times New Roman" w:cs="Times New Roman"/>
          <w:b/>
          <w:bCs/>
          <w:sz w:val="26"/>
          <w:szCs w:val="26"/>
        </w:rPr>
      </w:pPr>
      <w:r w:rsidRPr="00FD0D40">
        <w:rPr>
          <w:rFonts w:ascii="Times New Roman" w:hAnsi="Times New Roman" w:cs="Times New Roman"/>
          <w:b/>
          <w:bCs/>
          <w:sz w:val="26"/>
          <w:szCs w:val="26"/>
        </w:rPr>
        <w:t>Premessa</w:t>
      </w:r>
    </w:p>
    <w:p w14:paraId="2141971F" w14:textId="03D3BA87" w:rsidR="008B5AF2" w:rsidRDefault="00515DF8" w:rsidP="00515DF8">
      <w:pPr>
        <w:jc w:val="both"/>
        <w:rPr>
          <w:rFonts w:ascii="Times New Roman" w:eastAsia="Times New Roman" w:hAnsi="Times New Roman" w:cs="Times New Roman"/>
        </w:rPr>
      </w:pPr>
      <w:r w:rsidRPr="00FD0D40">
        <w:rPr>
          <w:rFonts w:ascii="Times New Roman" w:eastAsia="Times New Roman" w:hAnsi="Times New Roman" w:cs="Times New Roman"/>
        </w:rPr>
        <w:t xml:space="preserve">Nel processo di cambiamento che sta interessando il mondo agricolo e rurale, </w:t>
      </w:r>
      <w:r w:rsidR="008B5AF2">
        <w:rPr>
          <w:rFonts w:ascii="Times New Roman" w:eastAsia="Times New Roman" w:hAnsi="Times New Roman" w:cs="Times New Roman"/>
        </w:rPr>
        <w:t xml:space="preserve">la conoscenza e </w:t>
      </w:r>
      <w:r w:rsidRPr="00FD0D40">
        <w:rPr>
          <w:rFonts w:ascii="Times New Roman" w:eastAsia="Times New Roman" w:hAnsi="Times New Roman" w:cs="Times New Roman"/>
        </w:rPr>
        <w:t>l’innovazione rivest</w:t>
      </w:r>
      <w:r w:rsidR="008B5AF2">
        <w:rPr>
          <w:rFonts w:ascii="Times New Roman" w:eastAsia="Times New Roman" w:hAnsi="Times New Roman" w:cs="Times New Roman"/>
        </w:rPr>
        <w:t>ono</w:t>
      </w:r>
      <w:r w:rsidRPr="00FD0D40">
        <w:rPr>
          <w:rFonts w:ascii="Times New Roman" w:eastAsia="Times New Roman" w:hAnsi="Times New Roman" w:cs="Times New Roman"/>
        </w:rPr>
        <w:t xml:space="preserve"> un ruolo preponderante quale strategia trasversale nei percorsi di sviluppo futuro. In particolare, la digitalizzazione viene indicata come lo strumento che meglio potrà sviluppare la resilienza e la sostenibilità di tutto il settore agricolo e rurale (Veronique et al., 2022). Inoltre, la necessità di dare risposta ai Grand Challenges richiede che </w:t>
      </w:r>
      <w:r w:rsidR="003829F7">
        <w:rPr>
          <w:rFonts w:ascii="Times New Roman" w:eastAsia="Times New Roman" w:hAnsi="Times New Roman" w:cs="Times New Roman"/>
        </w:rPr>
        <w:t>l’</w:t>
      </w:r>
      <w:r w:rsidRPr="00FD0D40">
        <w:rPr>
          <w:rFonts w:ascii="Times New Roman" w:eastAsia="Times New Roman" w:hAnsi="Times New Roman" w:cs="Times New Roman"/>
        </w:rPr>
        <w:t xml:space="preserve">’innovazione </w:t>
      </w:r>
      <w:r w:rsidR="003829F7">
        <w:rPr>
          <w:rFonts w:ascii="Times New Roman" w:eastAsia="Times New Roman" w:hAnsi="Times New Roman" w:cs="Times New Roman"/>
        </w:rPr>
        <w:t xml:space="preserve">sia </w:t>
      </w:r>
      <w:r w:rsidRPr="00FD0D40">
        <w:rPr>
          <w:rFonts w:ascii="Times New Roman" w:eastAsia="Times New Roman" w:hAnsi="Times New Roman" w:cs="Times New Roman"/>
        </w:rPr>
        <w:t>non solo di carattere tecnologico ma anche sociale ed istituzionale (</w:t>
      </w:r>
      <w:proofErr w:type="spellStart"/>
      <w:r w:rsidRPr="00FD0D40">
        <w:rPr>
          <w:rFonts w:ascii="Times New Roman" w:eastAsia="Times New Roman" w:hAnsi="Times New Roman" w:cs="Times New Roman"/>
        </w:rPr>
        <w:t>Kok</w:t>
      </w:r>
      <w:proofErr w:type="spellEnd"/>
      <w:r w:rsidRPr="00FD0D40">
        <w:rPr>
          <w:rFonts w:ascii="Times New Roman" w:eastAsia="Times New Roman" w:hAnsi="Times New Roman" w:cs="Times New Roman"/>
        </w:rPr>
        <w:t xml:space="preserve"> and </w:t>
      </w:r>
      <w:proofErr w:type="spellStart"/>
      <w:r w:rsidRPr="00FD0D40">
        <w:rPr>
          <w:rFonts w:ascii="Times New Roman" w:eastAsia="Times New Roman" w:hAnsi="Times New Roman" w:cs="Times New Roman"/>
        </w:rPr>
        <w:t>Klerks</w:t>
      </w:r>
      <w:proofErr w:type="spellEnd"/>
      <w:r w:rsidRPr="00FD0D40">
        <w:rPr>
          <w:rFonts w:ascii="Times New Roman" w:eastAsia="Times New Roman" w:hAnsi="Times New Roman" w:cs="Times New Roman"/>
        </w:rPr>
        <w:t>, 2023, Herrero et al., 2020), insomma una transizione di regime sociotecnico</w:t>
      </w:r>
      <w:r w:rsidR="003829F7">
        <w:rPr>
          <w:rFonts w:ascii="Times New Roman" w:eastAsia="Times New Roman" w:hAnsi="Times New Roman" w:cs="Times New Roman"/>
        </w:rPr>
        <w:t xml:space="preserve"> (Arcuri et al., 2023)</w:t>
      </w:r>
      <w:r w:rsidRPr="00FD0D40">
        <w:rPr>
          <w:rFonts w:ascii="Times New Roman" w:eastAsia="Times New Roman" w:hAnsi="Times New Roman" w:cs="Times New Roman"/>
        </w:rPr>
        <w:t>. Tale multidimensionalità può essere perseguita solo attraverso una visione sistemica</w:t>
      </w:r>
      <w:r w:rsidR="008B5AF2">
        <w:rPr>
          <w:rFonts w:ascii="Times New Roman" w:eastAsia="Times New Roman" w:hAnsi="Times New Roman" w:cs="Times New Roman"/>
        </w:rPr>
        <w:t>, che analizzi i complessi meccanismi di trasferimento e di ancoraggio territoriale di conoscenza “pertinente” (</w:t>
      </w:r>
      <w:proofErr w:type="spellStart"/>
      <w:r w:rsidR="008B5AF2">
        <w:rPr>
          <w:rFonts w:ascii="Times New Roman" w:eastAsia="Times New Roman" w:hAnsi="Times New Roman" w:cs="Times New Roman"/>
        </w:rPr>
        <w:t>C</w:t>
      </w:r>
      <w:r w:rsidR="00AE5DF1">
        <w:rPr>
          <w:rFonts w:ascii="Times New Roman" w:eastAsia="Times New Roman" w:hAnsi="Times New Roman" w:cs="Times New Roman"/>
        </w:rPr>
        <w:t>revoisier</w:t>
      </w:r>
      <w:proofErr w:type="spellEnd"/>
      <w:r w:rsidR="00AE5DF1">
        <w:rPr>
          <w:rFonts w:ascii="Times New Roman" w:eastAsia="Times New Roman" w:hAnsi="Times New Roman" w:cs="Times New Roman"/>
        </w:rPr>
        <w:t>, 2011)</w:t>
      </w:r>
      <w:r w:rsidRPr="00FD0D40">
        <w:rPr>
          <w:rFonts w:ascii="Times New Roman" w:eastAsia="Times New Roman" w:hAnsi="Times New Roman" w:cs="Times New Roman"/>
        </w:rPr>
        <w:t xml:space="preserve"> </w:t>
      </w:r>
    </w:p>
    <w:p w14:paraId="45625737" w14:textId="6CA78191" w:rsidR="003829F7" w:rsidRDefault="00515DF8" w:rsidP="00515DF8">
      <w:pPr>
        <w:jc w:val="both"/>
        <w:rPr>
          <w:rFonts w:ascii="Times New Roman" w:eastAsia="Times New Roman" w:hAnsi="Times New Roman" w:cs="Times New Roman"/>
        </w:rPr>
      </w:pPr>
      <w:r w:rsidRPr="00FD0D40">
        <w:rPr>
          <w:rFonts w:ascii="Times New Roman" w:eastAsia="Times New Roman" w:hAnsi="Times New Roman" w:cs="Times New Roman"/>
        </w:rPr>
        <w:t xml:space="preserve">In tale ottica, l’approccio </w:t>
      </w:r>
      <w:r w:rsidR="0054582E">
        <w:rPr>
          <w:rFonts w:ascii="Times New Roman" w:eastAsia="Times New Roman" w:hAnsi="Times New Roman" w:cs="Times New Roman"/>
        </w:rPr>
        <w:t xml:space="preserve">sistemico </w:t>
      </w:r>
      <w:r w:rsidR="00F61C57">
        <w:rPr>
          <w:rFonts w:ascii="Times New Roman" w:eastAsia="Times New Roman" w:hAnsi="Times New Roman" w:cs="Times New Roman"/>
        </w:rPr>
        <w:t xml:space="preserve">è </w:t>
      </w:r>
      <w:r w:rsidRPr="00FD0D40">
        <w:rPr>
          <w:rFonts w:ascii="Times New Roman" w:eastAsia="Times New Roman" w:hAnsi="Times New Roman" w:cs="Times New Roman"/>
        </w:rPr>
        <w:t xml:space="preserve">maggiormente adeguato all’analisi e alla creazione di networks ai quali dovrebbero appartenere esponenti del mondo produttivo, della consulenza, della ricerca, delle Istituzioni e della società civile al fine di co-produrre ricerca, innovazione e politiche di intervento ritagliate su fabbisogni sempre più complessi (Annosi et al., 2022; </w:t>
      </w:r>
      <w:proofErr w:type="spellStart"/>
      <w:r w:rsidRPr="00FD0D40">
        <w:rPr>
          <w:rFonts w:ascii="Times New Roman" w:eastAsia="Times New Roman" w:hAnsi="Times New Roman" w:cs="Times New Roman"/>
        </w:rPr>
        <w:t>Klerkx</w:t>
      </w:r>
      <w:proofErr w:type="spellEnd"/>
      <w:r w:rsidRPr="00FD0D40">
        <w:rPr>
          <w:rFonts w:ascii="Times New Roman" w:eastAsia="Times New Roman" w:hAnsi="Times New Roman" w:cs="Times New Roman"/>
        </w:rPr>
        <w:t xml:space="preserve"> et al., 2012; </w:t>
      </w:r>
      <w:proofErr w:type="spellStart"/>
      <w:r w:rsidRPr="00FD0D40">
        <w:rPr>
          <w:rFonts w:ascii="Times New Roman" w:eastAsia="Times New Roman" w:hAnsi="Times New Roman" w:cs="Times New Roman"/>
        </w:rPr>
        <w:t>Pigford</w:t>
      </w:r>
      <w:proofErr w:type="spellEnd"/>
      <w:r w:rsidRPr="00FD0D40">
        <w:rPr>
          <w:rFonts w:ascii="Times New Roman" w:eastAsia="Times New Roman" w:hAnsi="Times New Roman" w:cs="Times New Roman"/>
        </w:rPr>
        <w:t xml:space="preserve"> et al., 2018). Tale ruolo di primo piano è presente anche nella visione e nell’implementazione dell’intervento pubblico europeo dove l’AKIS (</w:t>
      </w:r>
      <w:proofErr w:type="spellStart"/>
      <w:r w:rsidRPr="00FD0D40">
        <w:rPr>
          <w:rFonts w:ascii="Times New Roman" w:eastAsia="Times New Roman" w:hAnsi="Times New Roman" w:cs="Times New Roman"/>
        </w:rPr>
        <w:t>Agricultural</w:t>
      </w:r>
      <w:proofErr w:type="spellEnd"/>
      <w:r w:rsidRPr="00FD0D40">
        <w:rPr>
          <w:rFonts w:ascii="Times New Roman" w:eastAsia="Times New Roman" w:hAnsi="Times New Roman" w:cs="Times New Roman"/>
        </w:rPr>
        <w:t xml:space="preserve"> Knowledge and Innovation System) è diventato il modello operativo e teorico per la strutturazione delle politiche relative proprio a conoscenza e innovazione. </w:t>
      </w:r>
    </w:p>
    <w:p w14:paraId="76486B1C" w14:textId="74EB7E41" w:rsidR="00515DF8" w:rsidRPr="00FD0D40" w:rsidRDefault="00515DF8" w:rsidP="00515DF8">
      <w:pPr>
        <w:jc w:val="both"/>
        <w:rPr>
          <w:rFonts w:ascii="Times New Roman" w:eastAsia="Times New Roman" w:hAnsi="Times New Roman" w:cs="Times New Roman"/>
        </w:rPr>
      </w:pPr>
      <w:r w:rsidRPr="00FD0D40">
        <w:rPr>
          <w:rFonts w:ascii="Times New Roman" w:eastAsia="Times New Roman" w:hAnsi="Times New Roman" w:cs="Times New Roman"/>
        </w:rPr>
        <w:t>Nel dibattito scientifico recente, la prospettiva sistemica è stata superata da quella ecosistemica, dove l’innovazione è vista come un processo co-evolutivo (</w:t>
      </w:r>
      <w:proofErr w:type="spellStart"/>
      <w:r w:rsidRPr="00FD0D40">
        <w:rPr>
          <w:rFonts w:ascii="Times New Roman" w:eastAsia="Times New Roman" w:hAnsi="Times New Roman" w:cs="Times New Roman"/>
        </w:rPr>
        <w:t>Pigford</w:t>
      </w:r>
      <w:proofErr w:type="spellEnd"/>
      <w:r w:rsidRPr="00FD0D40">
        <w:rPr>
          <w:rFonts w:ascii="Times New Roman" w:eastAsia="Times New Roman" w:hAnsi="Times New Roman" w:cs="Times New Roman"/>
        </w:rPr>
        <w:t xml:space="preserve"> et al., 2018) anche in relazione all’evidenza che, in scenari caratterizzati da elevata incertezza e dinamicità, le politiche debbano avere un’alta capacità adattativa (</w:t>
      </w:r>
      <w:proofErr w:type="spellStart"/>
      <w:r w:rsidRPr="00FD0D40">
        <w:rPr>
          <w:rFonts w:ascii="Times New Roman" w:eastAsia="Times New Roman" w:hAnsi="Times New Roman" w:cs="Times New Roman"/>
        </w:rPr>
        <w:t>Folke</w:t>
      </w:r>
      <w:proofErr w:type="spellEnd"/>
      <w:r w:rsidRPr="00FD0D40">
        <w:rPr>
          <w:rFonts w:ascii="Times New Roman" w:eastAsia="Times New Roman" w:hAnsi="Times New Roman" w:cs="Times New Roman"/>
        </w:rPr>
        <w:t xml:space="preserve"> et al., 2011). Gli approcci ecosistemici si riferiscono ad una rete complessa o ad un sistema interconnesso di attori (</w:t>
      </w:r>
      <w:proofErr w:type="spellStart"/>
      <w:r w:rsidRPr="00FD0D40">
        <w:rPr>
          <w:rFonts w:ascii="Times New Roman" w:eastAsia="Times New Roman" w:hAnsi="Times New Roman" w:cs="Times New Roman"/>
        </w:rPr>
        <w:t>Wolfert</w:t>
      </w:r>
      <w:proofErr w:type="spellEnd"/>
      <w:r w:rsidRPr="00FD0D40">
        <w:rPr>
          <w:rFonts w:ascii="Times New Roman" w:eastAsia="Times New Roman" w:hAnsi="Times New Roman" w:cs="Times New Roman"/>
        </w:rPr>
        <w:t xml:space="preserve"> et al., 2023). In sintesi, i sistemi di innovazione analizzano l'interazione e i meccanismi di governance tra gli attori coinvolti nell'estrazione del valore dall'innovazione, mentre la prospettiva dell'ecosistema sottolinea la co-evoluzione dell'innovazione e la co-creazione di valore (</w:t>
      </w:r>
      <w:proofErr w:type="spellStart"/>
      <w:r w:rsidRPr="00FD0D40">
        <w:rPr>
          <w:rFonts w:ascii="Times New Roman" w:eastAsia="Times New Roman" w:hAnsi="Times New Roman" w:cs="Times New Roman"/>
        </w:rPr>
        <w:t>Lioutas</w:t>
      </w:r>
      <w:proofErr w:type="spellEnd"/>
      <w:r w:rsidRPr="00FD0D40">
        <w:rPr>
          <w:rFonts w:ascii="Times New Roman" w:eastAsia="Times New Roman" w:hAnsi="Times New Roman" w:cs="Times New Roman"/>
        </w:rPr>
        <w:t xml:space="preserve"> et al., 2021; </w:t>
      </w:r>
      <w:proofErr w:type="spellStart"/>
      <w:r w:rsidRPr="00FD0D40">
        <w:rPr>
          <w:rFonts w:ascii="Times New Roman" w:eastAsia="Times New Roman" w:hAnsi="Times New Roman" w:cs="Times New Roman"/>
        </w:rPr>
        <w:t>Autio</w:t>
      </w:r>
      <w:proofErr w:type="spellEnd"/>
      <w:r w:rsidRPr="00FD0D40">
        <w:rPr>
          <w:rFonts w:ascii="Times New Roman" w:eastAsia="Times New Roman" w:hAnsi="Times New Roman" w:cs="Times New Roman"/>
        </w:rPr>
        <w:t>, Thomas 2014). L’aver introdotto la dinamicità nel framework teorico, rende l’ecosistema uno strumento util</w:t>
      </w:r>
      <w:r w:rsidR="00AE5DF1">
        <w:rPr>
          <w:rFonts w:ascii="Times New Roman" w:eastAsia="Times New Roman" w:hAnsi="Times New Roman" w:cs="Times New Roman"/>
        </w:rPr>
        <w:t>e</w:t>
      </w:r>
      <w:r w:rsidRPr="00FD0D40">
        <w:rPr>
          <w:rFonts w:ascii="Times New Roman" w:eastAsia="Times New Roman" w:hAnsi="Times New Roman" w:cs="Times New Roman"/>
        </w:rPr>
        <w:t xml:space="preserve"> per analizzare la </w:t>
      </w:r>
      <w:r w:rsidRPr="00834D2A">
        <w:rPr>
          <w:rFonts w:ascii="Times New Roman" w:eastAsia="Times New Roman" w:hAnsi="Times New Roman" w:cs="Times New Roman"/>
        </w:rPr>
        <w:t>transizione ecologica e digitale</w:t>
      </w:r>
      <w:r w:rsidR="0054582E" w:rsidRPr="004F6A7F">
        <w:rPr>
          <w:rFonts w:ascii="Times New Roman" w:eastAsia="Times New Roman" w:hAnsi="Times New Roman" w:cs="Times New Roman"/>
        </w:rPr>
        <w:t>, e in generale l’innovazione ne</w:t>
      </w:r>
      <w:r w:rsidRPr="00834D2A">
        <w:rPr>
          <w:rFonts w:ascii="Times New Roman" w:eastAsia="Times New Roman" w:hAnsi="Times New Roman" w:cs="Times New Roman"/>
        </w:rPr>
        <w:t>l mondo agricolo</w:t>
      </w:r>
      <w:r w:rsidRPr="00FD0D40">
        <w:rPr>
          <w:rFonts w:ascii="Times New Roman" w:eastAsia="Times New Roman" w:hAnsi="Times New Roman" w:cs="Times New Roman"/>
        </w:rPr>
        <w:t xml:space="preserve"> e rurale e per approfondire i caratteri di sinergia o di contrapposizione che l’interazione fra i processi potrebbe mostrare (Bellon-Maurel and </w:t>
      </w:r>
      <w:proofErr w:type="spellStart"/>
      <w:r w:rsidRPr="00FD0D40">
        <w:rPr>
          <w:rFonts w:ascii="Times New Roman" w:eastAsia="Times New Roman" w:hAnsi="Times New Roman" w:cs="Times New Roman"/>
        </w:rPr>
        <w:t>Huyghe</w:t>
      </w:r>
      <w:proofErr w:type="spellEnd"/>
      <w:r w:rsidRPr="00FD0D40">
        <w:rPr>
          <w:rFonts w:ascii="Times New Roman" w:eastAsia="Times New Roman" w:hAnsi="Times New Roman" w:cs="Times New Roman"/>
        </w:rPr>
        <w:t xml:space="preserve">, 2017; Wittman et al., 2020; </w:t>
      </w:r>
      <w:proofErr w:type="spellStart"/>
      <w:r w:rsidRPr="00FD0D40">
        <w:rPr>
          <w:rFonts w:ascii="Times New Roman" w:eastAsia="Times New Roman" w:hAnsi="Times New Roman" w:cs="Times New Roman"/>
        </w:rPr>
        <w:t>Schnebelin</w:t>
      </w:r>
      <w:proofErr w:type="spellEnd"/>
      <w:r w:rsidRPr="00FD0D40">
        <w:rPr>
          <w:rFonts w:ascii="Times New Roman" w:eastAsia="Times New Roman" w:hAnsi="Times New Roman" w:cs="Times New Roman"/>
        </w:rPr>
        <w:t xml:space="preserve"> et al., 2021; Fraser, 2021; </w:t>
      </w:r>
      <w:proofErr w:type="spellStart"/>
      <w:r w:rsidRPr="00FD0D40">
        <w:rPr>
          <w:rFonts w:ascii="Times New Roman" w:eastAsia="Times New Roman" w:hAnsi="Times New Roman" w:cs="Times New Roman"/>
        </w:rPr>
        <w:t>Ditzler</w:t>
      </w:r>
      <w:proofErr w:type="spellEnd"/>
      <w:r w:rsidRPr="00FD0D40">
        <w:rPr>
          <w:rFonts w:ascii="Times New Roman" w:eastAsia="Times New Roman" w:hAnsi="Times New Roman" w:cs="Times New Roman"/>
        </w:rPr>
        <w:t xml:space="preserve"> and </w:t>
      </w:r>
      <w:proofErr w:type="spellStart"/>
      <w:r w:rsidRPr="00FD0D40">
        <w:rPr>
          <w:rFonts w:ascii="Times New Roman" w:eastAsia="Times New Roman" w:hAnsi="Times New Roman" w:cs="Times New Roman"/>
        </w:rPr>
        <w:t>Driessen</w:t>
      </w:r>
      <w:proofErr w:type="spellEnd"/>
      <w:r w:rsidRPr="00FD0D40">
        <w:rPr>
          <w:rFonts w:ascii="Times New Roman" w:eastAsia="Times New Roman" w:hAnsi="Times New Roman" w:cs="Times New Roman"/>
        </w:rPr>
        <w:t xml:space="preserve">, 2022). Fra le definizioni che meglio rappresentano quanto descritto e che evidenziano forti potenzialità anche nei possibili risvolti empirici di analisi e quella proposta da </w:t>
      </w:r>
      <w:proofErr w:type="spellStart"/>
      <w:r w:rsidRPr="00FD0D40">
        <w:rPr>
          <w:rFonts w:ascii="Times New Roman" w:eastAsia="Times New Roman" w:hAnsi="Times New Roman" w:cs="Times New Roman"/>
        </w:rPr>
        <w:t>Granstrand</w:t>
      </w:r>
      <w:proofErr w:type="spellEnd"/>
      <w:r w:rsidRPr="00FD0D40">
        <w:rPr>
          <w:rFonts w:ascii="Times New Roman" w:eastAsia="Times New Roman" w:hAnsi="Times New Roman" w:cs="Times New Roman"/>
        </w:rPr>
        <w:t xml:space="preserve"> e </w:t>
      </w:r>
      <w:proofErr w:type="spellStart"/>
      <w:r w:rsidRPr="00FD0D40">
        <w:rPr>
          <w:rFonts w:ascii="Times New Roman" w:eastAsia="Times New Roman" w:hAnsi="Times New Roman" w:cs="Times New Roman"/>
        </w:rPr>
        <w:t>Holgersson</w:t>
      </w:r>
      <w:proofErr w:type="spellEnd"/>
      <w:r w:rsidRPr="00FD0D40">
        <w:rPr>
          <w:rFonts w:ascii="Times New Roman" w:eastAsia="Times New Roman" w:hAnsi="Times New Roman" w:cs="Times New Roman"/>
        </w:rPr>
        <w:t xml:space="preserve"> (2020): “Un ecosistema dell'innovazione è l'insieme in evoluzione di attori, attività e artefatti e delle istituzioni e delle relazioni, comprese le relazioni complementari e sostitutive, che sono importanti per la performance innovativa di un attore o di una popolazione di attori”.</w:t>
      </w:r>
    </w:p>
    <w:p w14:paraId="53DEC1E2" w14:textId="60227799" w:rsidR="00515DF8" w:rsidRPr="00FD0D40" w:rsidRDefault="008E106F" w:rsidP="00515DF8">
      <w:pPr>
        <w:jc w:val="both"/>
        <w:rPr>
          <w:rFonts w:ascii="Times New Roman" w:eastAsia="Times New Roman" w:hAnsi="Times New Roman" w:cs="Times New Roman"/>
        </w:rPr>
      </w:pPr>
      <w:r w:rsidRPr="00FD0D40">
        <w:rPr>
          <w:rFonts w:ascii="Times New Roman" w:eastAsia="Times New Roman" w:hAnsi="Times New Roman" w:cs="Times New Roman"/>
        </w:rPr>
        <w:t>Nello</w:t>
      </w:r>
      <w:r w:rsidR="00515DF8" w:rsidRPr="00FD0D40">
        <w:rPr>
          <w:rFonts w:ascii="Times New Roman" w:eastAsia="Times New Roman" w:hAnsi="Times New Roman" w:cs="Times New Roman"/>
        </w:rPr>
        <w:t xml:space="preserve"> scenario</w:t>
      </w:r>
      <w:r w:rsidRPr="00FD0D40">
        <w:rPr>
          <w:rFonts w:ascii="Times New Roman" w:eastAsia="Times New Roman" w:hAnsi="Times New Roman" w:cs="Times New Roman"/>
        </w:rPr>
        <w:t xml:space="preserve"> descritto</w:t>
      </w:r>
      <w:r w:rsidR="00515DF8" w:rsidRPr="00FD0D40">
        <w:rPr>
          <w:rFonts w:ascii="Times New Roman" w:eastAsia="Times New Roman" w:hAnsi="Times New Roman" w:cs="Times New Roman"/>
        </w:rPr>
        <w:t xml:space="preserve">, gli economisti agrari possono e devono assumere un ruolo di riferimento sia per indirizzare e sviluppare nuove linee di ricerca sia per supportare </w:t>
      </w:r>
      <w:r w:rsidRPr="00FD0D40">
        <w:rPr>
          <w:rFonts w:ascii="Times New Roman" w:eastAsia="Times New Roman" w:hAnsi="Times New Roman" w:cs="Times New Roman"/>
        </w:rPr>
        <w:t>la creazione di un</w:t>
      </w:r>
      <w:r w:rsidR="00515DF8" w:rsidRPr="00FD0D40">
        <w:rPr>
          <w:rFonts w:ascii="Times New Roman" w:eastAsia="Times New Roman" w:hAnsi="Times New Roman" w:cs="Times New Roman"/>
        </w:rPr>
        <w:t xml:space="preserve"> sistema della conoscenza </w:t>
      </w:r>
      <w:r w:rsidRPr="00FD0D40">
        <w:rPr>
          <w:rFonts w:ascii="Times New Roman" w:eastAsia="Times New Roman" w:hAnsi="Times New Roman" w:cs="Times New Roman"/>
        </w:rPr>
        <w:t>adeguato e vitale. A tal fine, il gruppo di lavoro, oltre a favorire la sinergia fra i diversi interessi di ricerca dei partecipanti,</w:t>
      </w:r>
      <w:r w:rsidR="0054582E">
        <w:rPr>
          <w:rFonts w:ascii="Times New Roman" w:eastAsia="Times New Roman" w:hAnsi="Times New Roman" w:cs="Times New Roman"/>
        </w:rPr>
        <w:t xml:space="preserve"> si interroga sull</w:t>
      </w:r>
      <w:r w:rsidR="00AD3FC4">
        <w:rPr>
          <w:rFonts w:ascii="Times New Roman" w:eastAsia="Times New Roman" w:hAnsi="Times New Roman" w:cs="Times New Roman"/>
        </w:rPr>
        <w:t>’efficacia</w:t>
      </w:r>
      <w:r w:rsidR="0054582E">
        <w:rPr>
          <w:rFonts w:ascii="Times New Roman" w:eastAsia="Times New Roman" w:hAnsi="Times New Roman" w:cs="Times New Roman"/>
        </w:rPr>
        <w:t xml:space="preserve"> degli strumenti di conoscenza disponibili e sulla eventuale necessità di adeguare la “cassetta degli attrezzi”.</w:t>
      </w:r>
      <w:r w:rsidRPr="00FD0D40">
        <w:rPr>
          <w:rFonts w:ascii="Times New Roman" w:eastAsia="Times New Roman" w:hAnsi="Times New Roman" w:cs="Times New Roman"/>
        </w:rPr>
        <w:t xml:space="preserve"> </w:t>
      </w:r>
      <w:r w:rsidR="002555EA">
        <w:rPr>
          <w:rFonts w:ascii="Times New Roman" w:eastAsia="Times New Roman" w:hAnsi="Times New Roman" w:cs="Times New Roman"/>
        </w:rPr>
        <w:t xml:space="preserve">Pertanto, il gruppo </w:t>
      </w:r>
      <w:r w:rsidRPr="00FD0D40">
        <w:rPr>
          <w:rFonts w:ascii="Times New Roman" w:eastAsia="Times New Roman" w:hAnsi="Times New Roman" w:cs="Times New Roman"/>
        </w:rPr>
        <w:t>avrà un duplice obiettivo. Il pr</w:t>
      </w:r>
      <w:r w:rsidR="00DE30E0" w:rsidRPr="00FD0D40">
        <w:rPr>
          <w:rFonts w:ascii="Times New Roman" w:eastAsia="Times New Roman" w:hAnsi="Times New Roman" w:cs="Times New Roman"/>
        </w:rPr>
        <w:t xml:space="preserve">imo </w:t>
      </w:r>
      <w:r w:rsidR="00AD3FC4" w:rsidRPr="00FD0D40">
        <w:rPr>
          <w:rFonts w:ascii="Times New Roman" w:eastAsia="Times New Roman" w:hAnsi="Times New Roman" w:cs="Times New Roman"/>
        </w:rPr>
        <w:t>riguard</w:t>
      </w:r>
      <w:r w:rsidR="00AD3FC4">
        <w:rPr>
          <w:rFonts w:ascii="Times New Roman" w:eastAsia="Times New Roman" w:hAnsi="Times New Roman" w:cs="Times New Roman"/>
        </w:rPr>
        <w:t>erà</w:t>
      </w:r>
      <w:r w:rsidR="00AD3FC4" w:rsidRPr="00FD0D40">
        <w:rPr>
          <w:rFonts w:ascii="Times New Roman" w:eastAsia="Times New Roman" w:hAnsi="Times New Roman" w:cs="Times New Roman"/>
        </w:rPr>
        <w:t xml:space="preserve"> </w:t>
      </w:r>
      <w:r w:rsidR="00DE30E0" w:rsidRPr="00FD0D40">
        <w:rPr>
          <w:rFonts w:ascii="Times New Roman" w:eastAsia="Times New Roman" w:hAnsi="Times New Roman" w:cs="Times New Roman"/>
        </w:rPr>
        <w:t xml:space="preserve">l’individuazione e l’approfondimento dei </w:t>
      </w:r>
      <w:proofErr w:type="gramStart"/>
      <w:r w:rsidR="00DE30E0" w:rsidRPr="00FD0D40">
        <w:rPr>
          <w:rFonts w:ascii="Times New Roman" w:eastAsia="Times New Roman" w:hAnsi="Times New Roman" w:cs="Times New Roman"/>
        </w:rPr>
        <w:t>gap</w:t>
      </w:r>
      <w:proofErr w:type="gramEnd"/>
      <w:r w:rsidR="00DE30E0" w:rsidRPr="00FD0D40">
        <w:rPr>
          <w:rFonts w:ascii="Times New Roman" w:eastAsia="Times New Roman" w:hAnsi="Times New Roman" w:cs="Times New Roman"/>
        </w:rPr>
        <w:t xml:space="preserve"> di conoscenza relativi agli aspetti teorici degli ecosistemi della conoscenza. Il secondo, invece, </w:t>
      </w:r>
      <w:r w:rsidR="00AD3FC4">
        <w:rPr>
          <w:rFonts w:ascii="Times New Roman" w:eastAsia="Times New Roman" w:hAnsi="Times New Roman" w:cs="Times New Roman"/>
        </w:rPr>
        <w:t>sarà dedicato</w:t>
      </w:r>
      <w:r w:rsidR="00AD3FC4" w:rsidRPr="00FD0D40">
        <w:rPr>
          <w:rFonts w:ascii="Times New Roman" w:eastAsia="Times New Roman" w:hAnsi="Times New Roman" w:cs="Times New Roman"/>
        </w:rPr>
        <w:t xml:space="preserve"> </w:t>
      </w:r>
      <w:r w:rsidR="00AD3FC4">
        <w:rPr>
          <w:rFonts w:ascii="Times New Roman" w:eastAsia="Times New Roman" w:hAnsi="Times New Roman" w:cs="Times New Roman"/>
        </w:rPr>
        <w:t>al</w:t>
      </w:r>
      <w:r w:rsidR="00DE30E0" w:rsidRPr="00FD0D40">
        <w:rPr>
          <w:rFonts w:ascii="Times New Roman" w:eastAsia="Times New Roman" w:hAnsi="Times New Roman" w:cs="Times New Roman"/>
        </w:rPr>
        <w:t>la creazione di relazioni con i diversi attori che compongono l’AKIS nazionale al fine di fornire un contributo nei processi di implementazione del network e dei flussi di conoscenza</w:t>
      </w:r>
      <w:r w:rsidR="00AD3FC4">
        <w:rPr>
          <w:rFonts w:ascii="Times New Roman" w:eastAsia="Times New Roman" w:hAnsi="Times New Roman" w:cs="Times New Roman"/>
        </w:rPr>
        <w:t>.</w:t>
      </w:r>
    </w:p>
    <w:p w14:paraId="525C1470" w14:textId="77777777" w:rsidR="008E106F" w:rsidRPr="00FD0D40" w:rsidRDefault="008E106F" w:rsidP="00515DF8">
      <w:pPr>
        <w:jc w:val="both"/>
        <w:rPr>
          <w:rFonts w:ascii="Times New Roman" w:eastAsia="Times New Roman" w:hAnsi="Times New Roman" w:cs="Times New Roman"/>
        </w:rPr>
      </w:pPr>
    </w:p>
    <w:p w14:paraId="6E92DD19" w14:textId="77777777" w:rsidR="008E106F" w:rsidRPr="00FD0D40" w:rsidRDefault="008E106F" w:rsidP="00515DF8">
      <w:pPr>
        <w:jc w:val="both"/>
        <w:rPr>
          <w:rFonts w:ascii="Times New Roman" w:eastAsia="Times New Roman" w:hAnsi="Times New Roman" w:cs="Times New Roman"/>
        </w:rPr>
      </w:pPr>
    </w:p>
    <w:p w14:paraId="0A7BF2D3" w14:textId="28EB3965" w:rsidR="008E106F" w:rsidRDefault="008E106F" w:rsidP="00515DF8">
      <w:pPr>
        <w:jc w:val="both"/>
        <w:rPr>
          <w:rFonts w:ascii="Times New Roman" w:eastAsia="Times New Roman" w:hAnsi="Times New Roman" w:cs="Times New Roman"/>
          <w:b/>
          <w:bCs/>
          <w:sz w:val="26"/>
          <w:szCs w:val="26"/>
        </w:rPr>
      </w:pPr>
      <w:r w:rsidRPr="00FD0D40">
        <w:rPr>
          <w:rFonts w:ascii="Times New Roman" w:eastAsia="Times New Roman" w:hAnsi="Times New Roman" w:cs="Times New Roman"/>
          <w:b/>
          <w:bCs/>
          <w:sz w:val="26"/>
          <w:szCs w:val="26"/>
        </w:rPr>
        <w:t xml:space="preserve">Fabbisogni </w:t>
      </w:r>
      <w:r w:rsidR="00FD0D40">
        <w:rPr>
          <w:rFonts w:ascii="Times New Roman" w:eastAsia="Times New Roman" w:hAnsi="Times New Roman" w:cs="Times New Roman"/>
          <w:b/>
          <w:bCs/>
          <w:sz w:val="26"/>
          <w:szCs w:val="26"/>
        </w:rPr>
        <w:t>d</w:t>
      </w:r>
      <w:r w:rsidR="00FD0D40" w:rsidRPr="00FD0D40">
        <w:rPr>
          <w:rFonts w:ascii="Times New Roman" w:eastAsia="Times New Roman" w:hAnsi="Times New Roman" w:cs="Times New Roman"/>
          <w:b/>
          <w:bCs/>
          <w:sz w:val="26"/>
          <w:szCs w:val="26"/>
        </w:rPr>
        <w:t>i Ricerca</w:t>
      </w:r>
    </w:p>
    <w:p w14:paraId="0EBC867C" w14:textId="6D884CFE" w:rsidR="00AD3FC4" w:rsidRPr="004F6A7F" w:rsidRDefault="00AD3FC4" w:rsidP="00515DF8">
      <w:pPr>
        <w:jc w:val="both"/>
        <w:rPr>
          <w:rFonts w:ascii="Times New Roman" w:eastAsia="Times New Roman" w:hAnsi="Times New Roman" w:cs="Times New Roman"/>
        </w:rPr>
      </w:pPr>
      <w:r w:rsidRPr="004F6A7F">
        <w:rPr>
          <w:rFonts w:ascii="Times New Roman" w:eastAsia="Times New Roman" w:hAnsi="Times New Roman" w:cs="Times New Roman"/>
        </w:rPr>
        <w:t>Per quanto detto</w:t>
      </w:r>
      <w:r>
        <w:rPr>
          <w:rFonts w:ascii="Times New Roman" w:eastAsia="Times New Roman" w:hAnsi="Times New Roman" w:cs="Times New Roman"/>
        </w:rPr>
        <w:t>, di seguito vengono elencati possibili argomenti di ricerca da approfondire</w:t>
      </w:r>
      <w:r w:rsidR="00EA2533">
        <w:rPr>
          <w:rFonts w:ascii="Times New Roman" w:eastAsia="Times New Roman" w:hAnsi="Times New Roman" w:cs="Times New Roman"/>
        </w:rPr>
        <w:t xml:space="preserve"> che saranno integrati o modificati in base agli interessi dei partecipanti.</w:t>
      </w:r>
    </w:p>
    <w:p w14:paraId="58D101F1" w14:textId="77777777" w:rsidR="00FD0D40" w:rsidRDefault="00FD0D40"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Stakeholder ed ecosistemi – approfondire la conoscenza delle tipologie di stakeholder e dei sistemi a cui danno vita, analizzare la cooperazione e i conflitti che si sviluppano nonché la distribuzione del potere</w:t>
      </w:r>
    </w:p>
    <w:p w14:paraId="65446792" w14:textId="763B3AD4" w:rsidR="00FD0D40" w:rsidRDefault="00FD0D40"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Governance – caratteristiche della governance </w:t>
      </w:r>
      <w:proofErr w:type="gramStart"/>
      <w:r>
        <w:rPr>
          <w:rFonts w:ascii="Times New Roman" w:eastAsia="Times New Roman" w:hAnsi="Times New Roman" w:cs="Times New Roman"/>
          <w:color w:val="000000"/>
          <w:highlight w:val="white"/>
        </w:rPr>
        <w:t>e</w:t>
      </w:r>
      <w:proofErr w:type="gramEnd"/>
      <w:r>
        <w:rPr>
          <w:rFonts w:ascii="Times New Roman" w:eastAsia="Times New Roman" w:hAnsi="Times New Roman" w:cs="Times New Roman"/>
          <w:color w:val="000000"/>
          <w:highlight w:val="white"/>
        </w:rPr>
        <w:t xml:space="preserve"> efficacia delle politiche; come le politiche possono migliorare la governance degli ecosistemi</w:t>
      </w:r>
    </w:p>
    <w:p w14:paraId="0C4630E5" w14:textId="27C7FC6E" w:rsidR="00FD0D40" w:rsidRDefault="00FD0D40"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Modelli di sviluppo – esogeno, neo-endogeno </w:t>
      </w:r>
      <w:r w:rsidR="004F6A7F">
        <w:rPr>
          <w:rFonts w:ascii="Times New Roman" w:eastAsia="Times New Roman" w:hAnsi="Times New Roman" w:cs="Times New Roman"/>
          <w:color w:val="000000"/>
        </w:rPr>
        <w:t>o</w:t>
      </w:r>
      <w:r>
        <w:rPr>
          <w:rFonts w:ascii="Times New Roman" w:eastAsia="Times New Roman" w:hAnsi="Times New Roman" w:cs="Times New Roman"/>
          <w:color w:val="000000"/>
          <w:highlight w:val="white"/>
        </w:rPr>
        <w:t xml:space="preserve"> vi è un modello alternativo che sta emergendo?</w:t>
      </w:r>
    </w:p>
    <w:p w14:paraId="4E800E3A" w14:textId="131EB895" w:rsidR="00CD6B11" w:rsidRDefault="00CD6B11" w:rsidP="00FD0D40">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Identificazione delle fonti di conoscenza delle imprese agricole, il </w:t>
      </w:r>
      <w:r w:rsidR="00B1459F">
        <w:rPr>
          <w:rFonts w:ascii="Times New Roman" w:eastAsia="Times New Roman" w:hAnsi="Times New Roman" w:cs="Times New Roman"/>
          <w:color w:val="000000"/>
          <w:highlight w:val="white"/>
        </w:rPr>
        <w:t xml:space="preserve">cosiddetto </w:t>
      </w:r>
      <w:r>
        <w:rPr>
          <w:rFonts w:ascii="Times New Roman" w:eastAsia="Times New Roman" w:hAnsi="Times New Roman" w:cs="Times New Roman"/>
          <w:color w:val="000000"/>
          <w:highlight w:val="white"/>
        </w:rPr>
        <w:t>micro-AKIS</w:t>
      </w:r>
      <w:r w:rsidR="00B1459F">
        <w:rPr>
          <w:rFonts w:ascii="Times New Roman" w:eastAsia="Times New Roman" w:hAnsi="Times New Roman" w:cs="Times New Roman"/>
          <w:color w:val="000000"/>
          <w:highlight w:val="white"/>
        </w:rPr>
        <w:t>, in particolare, se e come esso si modifica nelle dinamiche di adozione delle innovazioni</w:t>
      </w:r>
    </w:p>
    <w:p w14:paraId="4D4C3333" w14:textId="5F64684A" w:rsidR="008E106F" w:rsidRPr="003315A2" w:rsidRDefault="00FD0D40" w:rsidP="00515DF8">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sidRPr="00FD0D40">
        <w:rPr>
          <w:rFonts w:ascii="Times New Roman" w:eastAsia="Times New Roman" w:hAnsi="Times New Roman" w:cs="Times New Roman"/>
          <w:color w:val="000000"/>
          <w:highlight w:val="white"/>
        </w:rPr>
        <w:t xml:space="preserve">Trasferimento delle innovazioni tecnologiche, organizzative e sociali </w:t>
      </w:r>
    </w:p>
    <w:p w14:paraId="21F841C6" w14:textId="2C3B72F6" w:rsidR="003315A2" w:rsidRPr="003315A2" w:rsidRDefault="003315A2" w:rsidP="00515DF8">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Adozione delle innovazioni</w:t>
      </w:r>
    </w:p>
    <w:p w14:paraId="0561CB41" w14:textId="1949CBE8" w:rsidR="003315A2" w:rsidRPr="00C91AE8" w:rsidRDefault="003315A2" w:rsidP="00515DF8">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sidRPr="00C91AE8">
        <w:rPr>
          <w:rFonts w:ascii="Times New Roman" w:eastAsia="Times New Roman" w:hAnsi="Times New Roman" w:cs="Times New Roman"/>
          <w:color w:val="000000"/>
        </w:rPr>
        <w:t xml:space="preserve">Modelli per </w:t>
      </w:r>
      <w:proofErr w:type="spellStart"/>
      <w:r w:rsidRPr="00C91AE8">
        <w:rPr>
          <w:rFonts w:ascii="Times New Roman" w:eastAsia="Times New Roman" w:hAnsi="Times New Roman" w:cs="Times New Roman"/>
          <w:color w:val="000000"/>
        </w:rPr>
        <w:t>advisory</w:t>
      </w:r>
      <w:proofErr w:type="spellEnd"/>
      <w:r w:rsidRPr="00C91AE8">
        <w:rPr>
          <w:rFonts w:ascii="Times New Roman" w:eastAsia="Times New Roman" w:hAnsi="Times New Roman" w:cs="Times New Roman"/>
          <w:color w:val="000000"/>
        </w:rPr>
        <w:t xml:space="preserve"> </w:t>
      </w:r>
      <w:r w:rsidR="005733DC" w:rsidRPr="00C91AE8">
        <w:rPr>
          <w:rFonts w:ascii="Times New Roman" w:eastAsia="Times New Roman" w:hAnsi="Times New Roman" w:cs="Times New Roman"/>
          <w:color w:val="000000"/>
        </w:rPr>
        <w:t>a</w:t>
      </w:r>
      <w:r w:rsidRPr="00C91AE8">
        <w:rPr>
          <w:rFonts w:ascii="Times New Roman" w:eastAsia="Times New Roman" w:hAnsi="Times New Roman" w:cs="Times New Roman"/>
          <w:color w:val="000000"/>
        </w:rPr>
        <w:t>nd extension services</w:t>
      </w:r>
      <w:r w:rsidR="00C91AE8" w:rsidRPr="00C91AE8">
        <w:rPr>
          <w:rFonts w:ascii="Times New Roman" w:eastAsia="Times New Roman" w:hAnsi="Times New Roman" w:cs="Times New Roman"/>
          <w:color w:val="000000"/>
        </w:rPr>
        <w:t xml:space="preserve"> che tengano conto della natura p</w:t>
      </w:r>
      <w:r w:rsidR="00C91AE8">
        <w:rPr>
          <w:rFonts w:ascii="Times New Roman" w:eastAsia="Times New Roman" w:hAnsi="Times New Roman" w:cs="Times New Roman"/>
          <w:color w:val="000000"/>
        </w:rPr>
        <w:t>ubblica/privata degli attori</w:t>
      </w:r>
    </w:p>
    <w:p w14:paraId="6AFD1126" w14:textId="77777777" w:rsidR="00FD0D40" w:rsidRPr="00C91AE8" w:rsidRDefault="00FD0D40" w:rsidP="0088022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7BA9891" w14:textId="77777777" w:rsidR="00FD0D40" w:rsidRPr="00C91AE8" w:rsidRDefault="00FD0D40" w:rsidP="0088022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3FD1A28" w14:textId="77777777" w:rsidR="00FD0D40" w:rsidRPr="00C91AE8" w:rsidRDefault="00FD0D40" w:rsidP="0088022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3DFC264" w14:textId="77777777" w:rsidR="00AD3FC4" w:rsidRPr="00FD0D40" w:rsidRDefault="00AD3FC4" w:rsidP="00AD3FC4">
      <w:pPr>
        <w:pBdr>
          <w:top w:val="nil"/>
          <w:left w:val="nil"/>
          <w:bottom w:val="nil"/>
          <w:right w:val="nil"/>
          <w:between w:val="nil"/>
        </w:pBdr>
        <w:shd w:val="clear" w:color="auto" w:fill="FFFFFF"/>
        <w:jc w:val="both"/>
        <w:rPr>
          <w:rFonts w:ascii="Times New Roman" w:eastAsia="Times New Roman" w:hAnsi="Times New Roman" w:cs="Times New Roman"/>
          <w:b/>
          <w:bCs/>
          <w:color w:val="000000"/>
          <w:u w:val="single"/>
        </w:rPr>
      </w:pPr>
      <w:r w:rsidRPr="00FD0D40">
        <w:rPr>
          <w:rFonts w:ascii="Times New Roman" w:eastAsia="Times New Roman" w:hAnsi="Times New Roman" w:cs="Times New Roman"/>
          <w:b/>
          <w:bCs/>
          <w:color w:val="000000"/>
          <w:u w:val="single"/>
        </w:rPr>
        <w:t>Linee operative del gruppo di lavoro</w:t>
      </w:r>
    </w:p>
    <w:p w14:paraId="7A4609A1" w14:textId="77777777" w:rsidR="008E106F" w:rsidRPr="00AD3FC4" w:rsidRDefault="008E106F" w:rsidP="00515DF8">
      <w:pPr>
        <w:jc w:val="both"/>
        <w:rPr>
          <w:rFonts w:ascii="Times New Roman" w:eastAsia="Times New Roman" w:hAnsi="Times New Roman" w:cs="Times New Roman"/>
        </w:rPr>
      </w:pPr>
    </w:p>
    <w:p w14:paraId="63315695" w14:textId="11A59576" w:rsidR="00FD0D40" w:rsidRPr="00AD3FC4" w:rsidRDefault="00EA2533" w:rsidP="00515DF8">
      <w:pPr>
        <w:jc w:val="both"/>
        <w:rPr>
          <w:rFonts w:ascii="Times New Roman" w:eastAsia="Times New Roman" w:hAnsi="Times New Roman" w:cs="Times New Roman"/>
        </w:rPr>
      </w:pPr>
      <w:r>
        <w:rPr>
          <w:rFonts w:ascii="Times New Roman" w:eastAsia="Times New Roman" w:hAnsi="Times New Roman" w:cs="Times New Roman"/>
        </w:rPr>
        <w:t>Il gruppo organizzerà seminari di approfondimento di diverse tipologie. La messa a comune delle linee di ricerca e dei possibili progetti strategici dei partecipanti rappresenterà la prima tipologia di incontri. Altri momenti di confronto saranno realizzati con colleghi italiani o stranieri utili per approfondire specifici argomenti o ampliare le domande di ricerca. Infine, sa</w:t>
      </w:r>
      <w:r w:rsidR="0030462C">
        <w:rPr>
          <w:rFonts w:ascii="Times New Roman" w:eastAsia="Times New Roman" w:hAnsi="Times New Roman" w:cs="Times New Roman"/>
        </w:rPr>
        <w:t xml:space="preserve">ranno organizzati confronti con altri gruppi di lavoro SIDEA affini (es. Gruppo Politiche e Gruppo Internazionalizzazione). </w:t>
      </w:r>
    </w:p>
    <w:p w14:paraId="294C0A79" w14:textId="7C8B34D6" w:rsidR="00FD0D40" w:rsidRPr="00AD3FC4" w:rsidRDefault="00FD0D40" w:rsidP="00515DF8">
      <w:pPr>
        <w:jc w:val="both"/>
        <w:rPr>
          <w:rFonts w:ascii="Times New Roman" w:eastAsia="Times New Roman" w:hAnsi="Times New Roman" w:cs="Times New Roman"/>
        </w:rPr>
      </w:pPr>
    </w:p>
    <w:p w14:paraId="119F90FF" w14:textId="77777777" w:rsidR="00FD0D40" w:rsidRPr="00AD3FC4" w:rsidRDefault="00FD0D40" w:rsidP="00515DF8">
      <w:pPr>
        <w:jc w:val="both"/>
        <w:rPr>
          <w:rFonts w:ascii="Times New Roman" w:eastAsia="Times New Roman" w:hAnsi="Times New Roman" w:cs="Times New Roman"/>
        </w:rPr>
      </w:pPr>
    </w:p>
    <w:p w14:paraId="1F45F7D0" w14:textId="77777777" w:rsidR="00FD0D40" w:rsidRPr="00AD3FC4" w:rsidRDefault="00FD0D40" w:rsidP="00515DF8">
      <w:pPr>
        <w:jc w:val="both"/>
        <w:rPr>
          <w:rFonts w:ascii="Times New Roman" w:eastAsia="Times New Roman" w:hAnsi="Times New Roman" w:cs="Times New Roman"/>
        </w:rPr>
      </w:pPr>
    </w:p>
    <w:p w14:paraId="2063487D" w14:textId="4F6906E3" w:rsidR="00880221" w:rsidRPr="00FD0D40" w:rsidRDefault="00DE30E0">
      <w:pPr>
        <w:rPr>
          <w:rFonts w:ascii="Times New Roman" w:hAnsi="Times New Roman" w:cs="Times New Roman"/>
        </w:rPr>
      </w:pPr>
      <w:r w:rsidRPr="00FD0D40">
        <w:rPr>
          <w:rFonts w:ascii="Times New Roman" w:hAnsi="Times New Roman" w:cs="Times New Roman"/>
          <w:b/>
          <w:bCs/>
          <w:sz w:val="26"/>
          <w:szCs w:val="26"/>
        </w:rPr>
        <w:t>Science</w:t>
      </w:r>
      <w:r w:rsidR="00FD0D40" w:rsidRPr="00FD0D40">
        <w:rPr>
          <w:rFonts w:ascii="Times New Roman" w:hAnsi="Times New Roman" w:cs="Times New Roman"/>
          <w:b/>
          <w:bCs/>
          <w:sz w:val="26"/>
          <w:szCs w:val="26"/>
        </w:rPr>
        <w:t>-Policy Interface</w:t>
      </w:r>
    </w:p>
    <w:p w14:paraId="558BDAD0" w14:textId="7CC4E21E" w:rsidR="002C136A" w:rsidRDefault="00DE30E0" w:rsidP="00DE30E0">
      <w:pPr>
        <w:shd w:val="clear" w:color="auto" w:fill="FFFFFF"/>
        <w:jc w:val="both"/>
        <w:rPr>
          <w:rFonts w:ascii="Times New Roman" w:eastAsia="Times New Roman" w:hAnsi="Times New Roman" w:cs="Times New Roman"/>
        </w:rPr>
      </w:pPr>
      <w:r w:rsidRPr="00FD0D40">
        <w:rPr>
          <w:rFonts w:ascii="Times New Roman" w:eastAsia="Times New Roman" w:hAnsi="Times New Roman" w:cs="Times New Roman"/>
          <w:color w:val="222222"/>
        </w:rPr>
        <w:t>Nello scenario descritto, il gruppo di lavoro lavorerà per la creazion</w:t>
      </w:r>
      <w:r w:rsidR="00880221" w:rsidRPr="00FD0D40">
        <w:rPr>
          <w:rFonts w:ascii="Times New Roman" w:eastAsia="Times New Roman" w:hAnsi="Times New Roman" w:cs="Times New Roman"/>
          <w:color w:val="222222"/>
        </w:rPr>
        <w:t>e</w:t>
      </w:r>
      <w:r w:rsidRPr="00FD0D40">
        <w:rPr>
          <w:rFonts w:ascii="Times New Roman" w:eastAsia="Times New Roman" w:hAnsi="Times New Roman" w:cs="Times New Roman"/>
          <w:color w:val="222222"/>
        </w:rPr>
        <w:t xml:space="preserve"> di connessioni più forti fra ricerca, politiche e società. </w:t>
      </w:r>
      <w:r w:rsidR="0071129D">
        <w:rPr>
          <w:rFonts w:ascii="Times New Roman" w:eastAsia="Times New Roman" w:hAnsi="Times New Roman" w:cs="Times New Roman"/>
          <w:color w:val="222222"/>
        </w:rPr>
        <w:t>Il dialogo tra scienza e politica è divenuto recentemente più complesso e le categorie di attori coinvolti non sempre chiare; soprattutto: “</w:t>
      </w:r>
      <w:r w:rsidR="0071129D" w:rsidRPr="004F6A7F">
        <w:rPr>
          <w:rFonts w:ascii="Times New Roman" w:eastAsia="Times New Roman" w:hAnsi="Times New Roman" w:cs="Times New Roman"/>
          <w:i/>
          <w:iCs/>
          <w:color w:val="222222"/>
        </w:rPr>
        <w:t xml:space="preserve">scientists and policy makers </w:t>
      </w:r>
      <w:proofErr w:type="spellStart"/>
      <w:r w:rsidR="0071129D" w:rsidRPr="004F6A7F">
        <w:rPr>
          <w:rFonts w:ascii="Times New Roman" w:eastAsia="Times New Roman" w:hAnsi="Times New Roman" w:cs="Times New Roman"/>
          <w:i/>
          <w:iCs/>
          <w:color w:val="222222"/>
        </w:rPr>
        <w:t>have</w:t>
      </w:r>
      <w:proofErr w:type="spellEnd"/>
      <w:r w:rsidR="0071129D" w:rsidRPr="004F6A7F">
        <w:rPr>
          <w:rFonts w:ascii="Times New Roman" w:eastAsia="Times New Roman" w:hAnsi="Times New Roman" w:cs="Times New Roman"/>
          <w:i/>
          <w:iCs/>
          <w:color w:val="222222"/>
        </w:rPr>
        <w:t xml:space="preserve"> </w:t>
      </w:r>
      <w:proofErr w:type="spellStart"/>
      <w:r w:rsidR="0071129D" w:rsidRPr="004F6A7F">
        <w:rPr>
          <w:rFonts w:ascii="Times New Roman" w:eastAsia="Times New Roman" w:hAnsi="Times New Roman" w:cs="Times New Roman"/>
          <w:i/>
          <w:iCs/>
          <w:color w:val="222222"/>
        </w:rPr>
        <w:t>different</w:t>
      </w:r>
      <w:proofErr w:type="spellEnd"/>
      <w:r w:rsidR="0071129D" w:rsidRPr="004F6A7F">
        <w:rPr>
          <w:rFonts w:ascii="Times New Roman" w:eastAsia="Times New Roman" w:hAnsi="Times New Roman" w:cs="Times New Roman"/>
          <w:i/>
          <w:iCs/>
          <w:color w:val="222222"/>
        </w:rPr>
        <w:t xml:space="preserve"> rules and </w:t>
      </w:r>
      <w:proofErr w:type="spellStart"/>
      <w:r w:rsidR="0071129D" w:rsidRPr="004F6A7F">
        <w:rPr>
          <w:rFonts w:ascii="Times New Roman" w:eastAsia="Times New Roman" w:hAnsi="Times New Roman" w:cs="Times New Roman"/>
          <w:i/>
          <w:iCs/>
          <w:color w:val="222222"/>
        </w:rPr>
        <w:t>rhythms</w:t>
      </w:r>
      <w:proofErr w:type="spellEnd"/>
      <w:r w:rsidR="0071129D" w:rsidRPr="004F6A7F">
        <w:rPr>
          <w:rFonts w:ascii="Times New Roman" w:eastAsia="Times New Roman" w:hAnsi="Times New Roman" w:cs="Times New Roman"/>
          <w:i/>
          <w:iCs/>
          <w:color w:val="222222"/>
        </w:rPr>
        <w:t xml:space="preserve">, and </w:t>
      </w:r>
      <w:proofErr w:type="spellStart"/>
      <w:r w:rsidR="0071129D" w:rsidRPr="004F6A7F">
        <w:rPr>
          <w:rFonts w:ascii="Times New Roman" w:eastAsia="Times New Roman" w:hAnsi="Times New Roman" w:cs="Times New Roman"/>
          <w:i/>
          <w:iCs/>
          <w:color w:val="222222"/>
        </w:rPr>
        <w:t>different</w:t>
      </w:r>
      <w:proofErr w:type="spellEnd"/>
      <w:r w:rsidR="0071129D" w:rsidRPr="004F6A7F">
        <w:rPr>
          <w:rFonts w:ascii="Times New Roman" w:eastAsia="Times New Roman" w:hAnsi="Times New Roman" w:cs="Times New Roman"/>
          <w:i/>
          <w:iCs/>
          <w:color w:val="222222"/>
        </w:rPr>
        <w:t xml:space="preserve"> </w:t>
      </w:r>
      <w:proofErr w:type="spellStart"/>
      <w:r w:rsidR="0071129D" w:rsidRPr="004F6A7F">
        <w:rPr>
          <w:rFonts w:ascii="Times New Roman" w:eastAsia="Times New Roman" w:hAnsi="Times New Roman" w:cs="Times New Roman"/>
          <w:i/>
          <w:iCs/>
          <w:color w:val="222222"/>
        </w:rPr>
        <w:t>kinds</w:t>
      </w:r>
      <w:proofErr w:type="spellEnd"/>
      <w:r w:rsidR="0071129D" w:rsidRPr="004F6A7F">
        <w:rPr>
          <w:rFonts w:ascii="Times New Roman" w:eastAsia="Times New Roman" w:hAnsi="Times New Roman" w:cs="Times New Roman"/>
          <w:i/>
          <w:iCs/>
          <w:color w:val="222222"/>
        </w:rPr>
        <w:t xml:space="preserve"> of accountability to society</w:t>
      </w:r>
      <w:r w:rsidR="0071129D">
        <w:rPr>
          <w:rFonts w:ascii="Times New Roman" w:eastAsia="Times New Roman" w:hAnsi="Times New Roman" w:cs="Times New Roman"/>
          <w:color w:val="222222"/>
        </w:rPr>
        <w:t>” (</w:t>
      </w:r>
      <w:proofErr w:type="spellStart"/>
      <w:r w:rsidR="0071129D">
        <w:rPr>
          <w:rFonts w:ascii="Times New Roman" w:eastAsia="Times New Roman" w:hAnsi="Times New Roman" w:cs="Times New Roman"/>
          <w:color w:val="222222"/>
        </w:rPr>
        <w:t>Hainzelin</w:t>
      </w:r>
      <w:proofErr w:type="spellEnd"/>
      <w:r w:rsidR="0071129D">
        <w:rPr>
          <w:rFonts w:ascii="Times New Roman" w:eastAsia="Times New Roman" w:hAnsi="Times New Roman" w:cs="Times New Roman"/>
          <w:color w:val="222222"/>
        </w:rPr>
        <w:t xml:space="preserve"> et al., 2023, p.878). </w:t>
      </w:r>
      <w:r w:rsidR="00B1459F">
        <w:rPr>
          <w:rFonts w:ascii="Times New Roman" w:eastAsia="Times New Roman" w:hAnsi="Times New Roman" w:cs="Times New Roman"/>
          <w:color w:val="222222"/>
        </w:rPr>
        <w:t xml:space="preserve">Pertanto, </w:t>
      </w:r>
      <w:r w:rsidR="0071129D">
        <w:rPr>
          <w:rFonts w:ascii="Times New Roman" w:eastAsia="Times New Roman" w:hAnsi="Times New Roman" w:cs="Times New Roman"/>
          <w:color w:val="222222"/>
        </w:rPr>
        <w:t>l</w:t>
      </w:r>
      <w:r w:rsidRPr="00FD0D40">
        <w:rPr>
          <w:rFonts w:ascii="Times New Roman" w:eastAsia="Times New Roman" w:hAnsi="Times New Roman" w:cs="Times New Roman"/>
          <w:color w:val="222222"/>
        </w:rPr>
        <w:t>a transazione ecologica, digitale e, soprattutto, sociale</w:t>
      </w:r>
      <w:r w:rsidRPr="00FD0D40">
        <w:rPr>
          <w:rFonts w:ascii="Times New Roman" w:eastAsia="Times New Roman" w:hAnsi="Times New Roman" w:cs="Times New Roman"/>
        </w:rPr>
        <w:t xml:space="preserve"> richiede necessariamente una nuova science-policy-society </w:t>
      </w:r>
      <w:proofErr w:type="spellStart"/>
      <w:r w:rsidRPr="00FD0D40">
        <w:rPr>
          <w:rFonts w:ascii="Times New Roman" w:eastAsia="Times New Roman" w:hAnsi="Times New Roman" w:cs="Times New Roman"/>
        </w:rPr>
        <w:t>interface</w:t>
      </w:r>
      <w:proofErr w:type="spellEnd"/>
      <w:r w:rsidRPr="00FD0D40">
        <w:rPr>
          <w:rFonts w:ascii="Times New Roman" w:eastAsia="Times New Roman" w:hAnsi="Times New Roman" w:cs="Times New Roman"/>
        </w:rPr>
        <w:t xml:space="preserve">. Nella letteratura grande spazio è stato dato alla Science-policy </w:t>
      </w:r>
      <w:proofErr w:type="spellStart"/>
      <w:r w:rsidRPr="00FD0D40">
        <w:rPr>
          <w:rFonts w:ascii="Times New Roman" w:eastAsia="Times New Roman" w:hAnsi="Times New Roman" w:cs="Times New Roman"/>
        </w:rPr>
        <w:t>interface</w:t>
      </w:r>
      <w:proofErr w:type="spellEnd"/>
      <w:r w:rsidRPr="00FD0D40">
        <w:rPr>
          <w:rFonts w:ascii="Times New Roman" w:eastAsia="Times New Roman" w:hAnsi="Times New Roman" w:cs="Times New Roman"/>
        </w:rPr>
        <w:t xml:space="preserve"> capace di supportare i policy makers nell’implementazione di politiche nuove e complesse. </w:t>
      </w:r>
      <w:r w:rsidR="00977452">
        <w:rPr>
          <w:rFonts w:ascii="Times New Roman" w:eastAsia="Times New Roman" w:hAnsi="Times New Roman" w:cs="Times New Roman"/>
          <w:color w:val="222222"/>
        </w:rPr>
        <w:t xml:space="preserve">Tuttavia, per quanto complesso, il legame science-policy non è sufficiente: </w:t>
      </w:r>
      <w:r w:rsidR="00977452">
        <w:rPr>
          <w:rFonts w:ascii="Times New Roman" w:eastAsia="Times New Roman" w:hAnsi="Times New Roman" w:cs="Times New Roman"/>
        </w:rPr>
        <w:t>i</w:t>
      </w:r>
      <w:r w:rsidRPr="00FD0D40">
        <w:rPr>
          <w:rFonts w:ascii="Times New Roman" w:eastAsia="Times New Roman" w:hAnsi="Times New Roman" w:cs="Times New Roman"/>
        </w:rPr>
        <w:t xml:space="preserve">l ruolo fondamentale che la società riveste </w:t>
      </w:r>
      <w:r w:rsidR="00F61C57">
        <w:rPr>
          <w:rFonts w:ascii="Times New Roman" w:eastAsia="Times New Roman" w:hAnsi="Times New Roman" w:cs="Times New Roman"/>
        </w:rPr>
        <w:t xml:space="preserve">e la sua capacità di spostare l’epicentro delle innovazioni va riconosciuto all’interno di </w:t>
      </w:r>
      <w:r w:rsidRPr="00FD0D40">
        <w:rPr>
          <w:rFonts w:ascii="Times New Roman" w:eastAsia="Times New Roman" w:hAnsi="Times New Roman" w:cs="Times New Roman"/>
        </w:rPr>
        <w:t xml:space="preserve">una visione ecosistemica, fortemente collegata con il mondo della ricerca, delle istituzioni e della produzione. La Science-policy-society </w:t>
      </w:r>
      <w:proofErr w:type="spellStart"/>
      <w:r w:rsidRPr="00FD0D40">
        <w:rPr>
          <w:rFonts w:ascii="Times New Roman" w:eastAsia="Times New Roman" w:hAnsi="Times New Roman" w:cs="Times New Roman"/>
        </w:rPr>
        <w:t>interface</w:t>
      </w:r>
      <w:proofErr w:type="spellEnd"/>
      <w:r w:rsidRPr="00FD0D40">
        <w:rPr>
          <w:rFonts w:ascii="Times New Roman" w:eastAsia="Times New Roman" w:hAnsi="Times New Roman" w:cs="Times New Roman"/>
        </w:rPr>
        <w:t>, al fine di poter affrontare le sfide connesse al disegno e all’implementazioni di politiche complesse</w:t>
      </w:r>
      <w:r w:rsidR="002C136A" w:rsidRPr="002C136A">
        <w:rPr>
          <w:rFonts w:ascii="Times New Roman" w:eastAsia="Times New Roman" w:hAnsi="Times New Roman" w:cs="Times New Roman"/>
        </w:rPr>
        <w:t xml:space="preserve"> </w:t>
      </w:r>
      <w:r w:rsidR="002C136A">
        <w:rPr>
          <w:rFonts w:ascii="Times New Roman" w:eastAsia="Times New Roman" w:hAnsi="Times New Roman" w:cs="Times New Roman"/>
        </w:rPr>
        <w:t>deve favorire un dialogo tra scienziati, policymakers e altri stakeholders a supporto di una azione politica coerente sostenuta dall’evidenza scientifica, frutto di un meccanismo di azione collettiva (FAO</w:t>
      </w:r>
      <w:r w:rsidR="00515C75">
        <w:rPr>
          <w:rFonts w:ascii="Times New Roman" w:eastAsia="Times New Roman" w:hAnsi="Times New Roman" w:cs="Times New Roman"/>
        </w:rPr>
        <w:t>, 2024</w:t>
      </w:r>
      <w:r w:rsidR="002C136A">
        <w:rPr>
          <w:rFonts w:ascii="Times New Roman" w:eastAsia="Times New Roman" w:hAnsi="Times New Roman" w:cs="Times New Roman"/>
        </w:rPr>
        <w:t xml:space="preserve">). </w:t>
      </w:r>
    </w:p>
    <w:p w14:paraId="1C5B4E4A" w14:textId="054A3E9A" w:rsidR="00DE30E0" w:rsidRPr="00FD0D40" w:rsidRDefault="00DE30E0" w:rsidP="00DE30E0">
      <w:pP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rPr>
        <w:t xml:space="preserve">Deve, infine, permettere l’integrazione fra i fabbisogni di diversi attori posti a diversi livelli decisionali con indipendenza e rigore, mantenendo l’attenzione permanente alla misurazione </w:t>
      </w:r>
      <w:r w:rsidR="002C136A">
        <w:rPr>
          <w:rFonts w:ascii="Times New Roman" w:eastAsia="Times New Roman" w:hAnsi="Times New Roman" w:cs="Times New Roman"/>
        </w:rPr>
        <w:t>dei risultati.</w:t>
      </w:r>
    </w:p>
    <w:p w14:paraId="75D71F88" w14:textId="7D98C894" w:rsidR="00DE30E0" w:rsidRPr="00FD0D40" w:rsidRDefault="00DE30E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lastRenderedPageBreak/>
        <w:t xml:space="preserve">L’importanza di un’interfaccia costruttiva fra scienza, politica, istituzioni e società a livello nazionale, regionale, locale riveste un valore strategico per migliorare la performance del mondo della ricerca nella co-creazione di conoscenza maggiormente ritagliata sui fabbisogni sociali e nella comunicazione dei risultati e delle relative possibile strategie. </w:t>
      </w:r>
      <w:r w:rsidR="00354516" w:rsidRPr="00FD0D40">
        <w:rPr>
          <w:rFonts w:ascii="Times New Roman" w:eastAsia="Times New Roman" w:hAnsi="Times New Roman" w:cs="Times New Roman"/>
          <w:color w:val="000000"/>
        </w:rPr>
        <w:t>C</w:t>
      </w:r>
      <w:r w:rsidRPr="00FD0D40">
        <w:rPr>
          <w:rFonts w:ascii="Times New Roman" w:eastAsia="Times New Roman" w:hAnsi="Times New Roman" w:cs="Times New Roman"/>
          <w:color w:val="000000"/>
        </w:rPr>
        <w:t>o-produrre conoscenza con tutti g</w:t>
      </w:r>
      <w:r w:rsidR="00CD6B11">
        <w:rPr>
          <w:rFonts w:ascii="Times New Roman" w:eastAsia="Times New Roman" w:hAnsi="Times New Roman" w:cs="Times New Roman"/>
          <w:color w:val="000000"/>
        </w:rPr>
        <w:t>l</w:t>
      </w:r>
      <w:r w:rsidRPr="00FD0D40">
        <w:rPr>
          <w:rFonts w:ascii="Times New Roman" w:eastAsia="Times New Roman" w:hAnsi="Times New Roman" w:cs="Times New Roman"/>
          <w:color w:val="000000"/>
        </w:rPr>
        <w:t>i attori dell’ecosistema agricolo e rurale, attraverso un approccio multidisciplinare, è, oggi, una scelta richiesta nei nuovi piani di intervento, quali ad esempio la Politica Agricola Europea, le Politiche destinate al comparto energetic</w:t>
      </w:r>
      <w:r w:rsidR="00354516" w:rsidRPr="00FD0D40">
        <w:rPr>
          <w:rFonts w:ascii="Times New Roman" w:eastAsia="Times New Roman" w:hAnsi="Times New Roman" w:cs="Times New Roman"/>
          <w:color w:val="000000"/>
        </w:rPr>
        <w:t>o o di sviluppo di aree rurali</w:t>
      </w:r>
      <w:r w:rsidRPr="00FD0D40">
        <w:rPr>
          <w:rFonts w:ascii="Times New Roman" w:eastAsia="Times New Roman" w:hAnsi="Times New Roman" w:cs="Times New Roman"/>
          <w:color w:val="000000"/>
        </w:rPr>
        <w:t>. Questa sfida viene colta interamente dal modello che la Commissione Europea ha disegnato in contrapposizione al modello lineare di diffusione della conoscenza, denominato “Science for Policy 2.0” (Joint Research Centre, 2020). In tale visione, la scienza deve fornire risposte utili per l’implementazione di politiche di intervento, uscendo dalle “</w:t>
      </w:r>
      <w:proofErr w:type="spellStart"/>
      <w:r w:rsidRPr="00FD0D40">
        <w:rPr>
          <w:rFonts w:ascii="Times New Roman" w:eastAsia="Times New Roman" w:hAnsi="Times New Roman" w:cs="Times New Roman"/>
          <w:color w:val="000000"/>
        </w:rPr>
        <w:t>comfortable</w:t>
      </w:r>
      <w:proofErr w:type="spellEnd"/>
      <w:r w:rsidRPr="00FD0D40">
        <w:rPr>
          <w:rFonts w:ascii="Times New Roman" w:eastAsia="Times New Roman" w:hAnsi="Times New Roman" w:cs="Times New Roman"/>
          <w:color w:val="000000"/>
        </w:rPr>
        <w:t xml:space="preserve">, </w:t>
      </w:r>
      <w:proofErr w:type="spellStart"/>
      <w:r w:rsidRPr="00FD0D40">
        <w:rPr>
          <w:rFonts w:ascii="Times New Roman" w:eastAsia="Times New Roman" w:hAnsi="Times New Roman" w:cs="Times New Roman"/>
          <w:color w:val="000000"/>
        </w:rPr>
        <w:t>well-defined</w:t>
      </w:r>
      <w:proofErr w:type="spellEnd"/>
      <w:r w:rsidRPr="00FD0D40">
        <w:rPr>
          <w:rFonts w:ascii="Times New Roman" w:eastAsia="Times New Roman" w:hAnsi="Times New Roman" w:cs="Times New Roman"/>
          <w:color w:val="000000"/>
        </w:rPr>
        <w:t xml:space="preserve">, </w:t>
      </w:r>
      <w:proofErr w:type="spellStart"/>
      <w:r w:rsidRPr="00FD0D40">
        <w:rPr>
          <w:rFonts w:ascii="Times New Roman" w:eastAsia="Times New Roman" w:hAnsi="Times New Roman" w:cs="Times New Roman"/>
          <w:color w:val="000000"/>
        </w:rPr>
        <w:t>scientific</w:t>
      </w:r>
      <w:proofErr w:type="spellEnd"/>
      <w:r w:rsidRPr="00FD0D40">
        <w:rPr>
          <w:rFonts w:ascii="Times New Roman" w:eastAsia="Times New Roman" w:hAnsi="Times New Roman" w:cs="Times New Roman"/>
          <w:color w:val="000000"/>
        </w:rPr>
        <w:t xml:space="preserve"> boxes”.</w:t>
      </w:r>
    </w:p>
    <w:p w14:paraId="1F82895B" w14:textId="77777777"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0FF1E19" w14:textId="4292B2A0"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b/>
          <w:bCs/>
          <w:color w:val="000000"/>
          <w:u w:val="single"/>
        </w:rPr>
      </w:pPr>
      <w:r w:rsidRPr="00FD0D40">
        <w:rPr>
          <w:rFonts w:ascii="Times New Roman" w:eastAsia="Times New Roman" w:hAnsi="Times New Roman" w:cs="Times New Roman"/>
          <w:b/>
          <w:bCs/>
          <w:color w:val="000000"/>
          <w:u w:val="single"/>
        </w:rPr>
        <w:t>Linee operative del gruppo di lavoro</w:t>
      </w:r>
    </w:p>
    <w:p w14:paraId="095DE64E" w14:textId="6DDC2187" w:rsidR="00354516" w:rsidRPr="00FD0D40"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Il gruppo di lavoro si inserisce in questo processo di cambiamento volendo costruire non solo connessioni con gli altri attori ma rappresentare anche un possibile modello per quei giovani ricercatori che volessero interpretare in maniera maggiormente sistemica la loro figura professionale.</w:t>
      </w:r>
    </w:p>
    <w:p w14:paraId="040B1F83" w14:textId="3F4F49FD" w:rsidR="00354516" w:rsidRPr="00FD0D40"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A tal fine, saranno favorite attività che coinvolgeranno tutti gli attori del sistema della conoscenza in agricoltura, del costituendo Coordinamento Nazionale dell’AKIS presso il MASAF</w:t>
      </w:r>
      <w:r w:rsidR="00880221" w:rsidRPr="00FD0D40">
        <w:rPr>
          <w:rFonts w:ascii="Times New Roman" w:eastAsia="Times New Roman" w:hAnsi="Times New Roman" w:cs="Times New Roman"/>
          <w:color w:val="000000"/>
        </w:rPr>
        <w:t xml:space="preserve">, dei Coordinamenti AKIS di altri Paesi europei, </w:t>
      </w:r>
      <w:r w:rsidR="00C91AE8">
        <w:rPr>
          <w:rFonts w:ascii="Times New Roman" w:eastAsia="Times New Roman" w:hAnsi="Times New Roman" w:cs="Times New Roman"/>
          <w:color w:val="000000"/>
        </w:rPr>
        <w:t xml:space="preserve">della </w:t>
      </w:r>
      <w:r w:rsidR="00880221" w:rsidRPr="00FD0D40">
        <w:rPr>
          <w:rFonts w:ascii="Times New Roman" w:eastAsia="Times New Roman" w:hAnsi="Times New Roman" w:cs="Times New Roman"/>
          <w:color w:val="000000"/>
        </w:rPr>
        <w:t>Rete Interregionale per la ricerca agraria, forestale, acquacoltura e pesca, del PEI-Agri</w:t>
      </w:r>
      <w:r w:rsidRPr="00FD0D40">
        <w:rPr>
          <w:rFonts w:ascii="Times New Roman" w:eastAsia="Times New Roman" w:hAnsi="Times New Roman" w:cs="Times New Roman"/>
          <w:color w:val="000000"/>
        </w:rPr>
        <w:t xml:space="preserve"> e </w:t>
      </w:r>
      <w:r w:rsidR="00C91AE8">
        <w:rPr>
          <w:rFonts w:ascii="Times New Roman" w:eastAsia="Times New Roman" w:hAnsi="Times New Roman" w:cs="Times New Roman"/>
          <w:color w:val="000000"/>
        </w:rPr>
        <w:t>di altre</w:t>
      </w:r>
      <w:r w:rsidR="00C91AE8" w:rsidRPr="00FD0D40">
        <w:rPr>
          <w:rFonts w:ascii="Times New Roman" w:eastAsia="Times New Roman" w:hAnsi="Times New Roman" w:cs="Times New Roman"/>
          <w:color w:val="000000"/>
        </w:rPr>
        <w:t xml:space="preserve"> </w:t>
      </w:r>
      <w:r w:rsidRPr="00FD0D40">
        <w:rPr>
          <w:rFonts w:ascii="Times New Roman" w:eastAsia="Times New Roman" w:hAnsi="Times New Roman" w:cs="Times New Roman"/>
          <w:color w:val="000000"/>
        </w:rPr>
        <w:t>reti europee</w:t>
      </w:r>
      <w:r w:rsidR="00880221" w:rsidRPr="00FD0D40">
        <w:rPr>
          <w:rFonts w:ascii="Times New Roman" w:eastAsia="Times New Roman" w:hAnsi="Times New Roman" w:cs="Times New Roman"/>
          <w:color w:val="000000"/>
        </w:rPr>
        <w:t xml:space="preserve">. </w:t>
      </w:r>
    </w:p>
    <w:p w14:paraId="66FDE9BD" w14:textId="2574112C"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Il gruppo, inoltre, cercherà di sviluppare quanto detto per l’agricoltura e il mondo rurale anche per il settore pesca e acquacoltura che, sempre più, sembra interessato a seguire la formazione di un sistema della conoscenza. Tale necessità è fortemente espressa dagli attori e dai policy maker del settore</w:t>
      </w:r>
      <w:r w:rsidR="003315A2">
        <w:rPr>
          <w:rFonts w:ascii="Times New Roman" w:eastAsia="Times New Roman" w:hAnsi="Times New Roman" w:cs="Times New Roman"/>
          <w:color w:val="000000"/>
        </w:rPr>
        <w:t xml:space="preserve"> che</w:t>
      </w:r>
      <w:r w:rsidR="00C91AE8">
        <w:rPr>
          <w:rFonts w:ascii="Times New Roman" w:eastAsia="Times New Roman" w:hAnsi="Times New Roman" w:cs="Times New Roman"/>
          <w:color w:val="000000"/>
        </w:rPr>
        <w:t xml:space="preserve">, </w:t>
      </w:r>
      <w:r w:rsidR="003315A2">
        <w:rPr>
          <w:rFonts w:ascii="Times New Roman" w:eastAsia="Times New Roman" w:hAnsi="Times New Roman" w:cs="Times New Roman"/>
          <w:color w:val="000000"/>
        </w:rPr>
        <w:t>al momento vede attiva, quasi unicamente, la direzione centrale del MASAF.</w:t>
      </w:r>
    </w:p>
    <w:p w14:paraId="7DE4A7D2" w14:textId="76E0FA73" w:rsidR="00880221" w:rsidRPr="00FD0D40" w:rsidRDefault="00880221"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FD0D40">
        <w:rPr>
          <w:rFonts w:ascii="Times New Roman" w:eastAsia="Times New Roman" w:hAnsi="Times New Roman" w:cs="Times New Roman"/>
          <w:color w:val="000000"/>
        </w:rPr>
        <w:t>Seguendo la necessità di un approccio ampio e sistemico alla conoscenza e alle politiche di intervento, il gruppo svilupperà sinergie anche con eventuali altri gruppi SIDEA che possano dar vita a percorsi sinergici sia in ambito di ricerca che di supporto al sistema AKIS.</w:t>
      </w:r>
    </w:p>
    <w:p w14:paraId="3C6C762B" w14:textId="1ADD514F" w:rsidR="00354516"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678C5102" w14:textId="77777777" w:rsidR="00C91AE8" w:rsidRDefault="00C91AE8"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56B05B6" w14:textId="77777777" w:rsidR="00C91AE8" w:rsidRDefault="00C91AE8"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BF430F7" w14:textId="77777777" w:rsidR="00FD0D40" w:rsidRDefault="00FD0D40"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209E61B8" w14:textId="77777777" w:rsidR="00354516" w:rsidRPr="00FD0D40" w:rsidRDefault="00354516" w:rsidP="00DE30E0">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EDC1696" w14:textId="77777777" w:rsidR="00DE30E0" w:rsidRPr="00FD0D40" w:rsidRDefault="00DE30E0">
      <w:pPr>
        <w:rPr>
          <w:rFonts w:ascii="Times New Roman" w:hAnsi="Times New Roman" w:cs="Times New Roman"/>
        </w:rPr>
      </w:pPr>
    </w:p>
    <w:sectPr w:rsidR="00DE30E0" w:rsidRPr="00FD0D40" w:rsidSect="00341E4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EBBCF" w14:textId="77777777" w:rsidR="00E52446" w:rsidRDefault="00E52446" w:rsidP="00515DF8">
      <w:r>
        <w:separator/>
      </w:r>
    </w:p>
  </w:endnote>
  <w:endnote w:type="continuationSeparator" w:id="0">
    <w:p w14:paraId="53925702" w14:textId="77777777" w:rsidR="00E52446" w:rsidRDefault="00E52446" w:rsidP="0051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6422D" w14:textId="77777777" w:rsidR="00E52446" w:rsidRDefault="00E52446" w:rsidP="00515DF8">
      <w:r>
        <w:separator/>
      </w:r>
    </w:p>
  </w:footnote>
  <w:footnote w:type="continuationSeparator" w:id="0">
    <w:p w14:paraId="14C0C9C0" w14:textId="77777777" w:rsidR="00E52446" w:rsidRDefault="00E52446" w:rsidP="0051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17DF8"/>
    <w:multiLevelType w:val="multilevel"/>
    <w:tmpl w:val="C1766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79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F8"/>
    <w:rsid w:val="001F4A0B"/>
    <w:rsid w:val="002555EA"/>
    <w:rsid w:val="00292219"/>
    <w:rsid w:val="002C136A"/>
    <w:rsid w:val="0030462C"/>
    <w:rsid w:val="003315A2"/>
    <w:rsid w:val="00341E44"/>
    <w:rsid w:val="00354516"/>
    <w:rsid w:val="003629F4"/>
    <w:rsid w:val="003829F7"/>
    <w:rsid w:val="00383153"/>
    <w:rsid w:val="00423048"/>
    <w:rsid w:val="004F6A7F"/>
    <w:rsid w:val="00515C75"/>
    <w:rsid w:val="00515DF8"/>
    <w:rsid w:val="0054582E"/>
    <w:rsid w:val="005733DC"/>
    <w:rsid w:val="00573477"/>
    <w:rsid w:val="00604839"/>
    <w:rsid w:val="00612BF6"/>
    <w:rsid w:val="006D619E"/>
    <w:rsid w:val="0071129D"/>
    <w:rsid w:val="00725423"/>
    <w:rsid w:val="00731F72"/>
    <w:rsid w:val="007359AD"/>
    <w:rsid w:val="00834D2A"/>
    <w:rsid w:val="00880221"/>
    <w:rsid w:val="008B5AF2"/>
    <w:rsid w:val="008C48CC"/>
    <w:rsid w:val="008E106F"/>
    <w:rsid w:val="00946B11"/>
    <w:rsid w:val="00977452"/>
    <w:rsid w:val="009E031F"/>
    <w:rsid w:val="00AD3FC4"/>
    <w:rsid w:val="00AE5DF1"/>
    <w:rsid w:val="00B1459F"/>
    <w:rsid w:val="00C91AE8"/>
    <w:rsid w:val="00CD3EEF"/>
    <w:rsid w:val="00CD6B11"/>
    <w:rsid w:val="00DE30E0"/>
    <w:rsid w:val="00E426F8"/>
    <w:rsid w:val="00E52446"/>
    <w:rsid w:val="00EA2533"/>
    <w:rsid w:val="00EF6218"/>
    <w:rsid w:val="00F61C57"/>
    <w:rsid w:val="00FD0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3B3A"/>
  <w15:chartTrackingRefBased/>
  <w15:docId w15:val="{5334953C-C2A6-2440-A108-DC142D0F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15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15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15DF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15DF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15DF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15DF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5DF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5DF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5DF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5DF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15DF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15DF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15DF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15DF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15D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5D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5D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5D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5DF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5D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5DF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5D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5DF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5DF8"/>
    <w:rPr>
      <w:i/>
      <w:iCs/>
      <w:color w:val="404040" w:themeColor="text1" w:themeTint="BF"/>
    </w:rPr>
  </w:style>
  <w:style w:type="paragraph" w:styleId="Paragrafoelenco">
    <w:name w:val="List Paragraph"/>
    <w:basedOn w:val="Normale"/>
    <w:uiPriority w:val="34"/>
    <w:qFormat/>
    <w:rsid w:val="00515DF8"/>
    <w:pPr>
      <w:ind w:left="720"/>
      <w:contextualSpacing/>
    </w:pPr>
  </w:style>
  <w:style w:type="character" w:styleId="Enfasiintensa">
    <w:name w:val="Intense Emphasis"/>
    <w:basedOn w:val="Carpredefinitoparagrafo"/>
    <w:uiPriority w:val="21"/>
    <w:qFormat/>
    <w:rsid w:val="00515DF8"/>
    <w:rPr>
      <w:i/>
      <w:iCs/>
      <w:color w:val="2F5496" w:themeColor="accent1" w:themeShade="BF"/>
    </w:rPr>
  </w:style>
  <w:style w:type="paragraph" w:styleId="Citazioneintensa">
    <w:name w:val="Intense Quote"/>
    <w:basedOn w:val="Normale"/>
    <w:next w:val="Normale"/>
    <w:link w:val="CitazioneintensaCarattere"/>
    <w:uiPriority w:val="30"/>
    <w:qFormat/>
    <w:rsid w:val="00515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15DF8"/>
    <w:rPr>
      <w:i/>
      <w:iCs/>
      <w:color w:val="2F5496" w:themeColor="accent1" w:themeShade="BF"/>
    </w:rPr>
  </w:style>
  <w:style w:type="character" w:styleId="Riferimentointenso">
    <w:name w:val="Intense Reference"/>
    <w:basedOn w:val="Carpredefinitoparagrafo"/>
    <w:uiPriority w:val="32"/>
    <w:qFormat/>
    <w:rsid w:val="00515DF8"/>
    <w:rPr>
      <w:b/>
      <w:bCs/>
      <w:smallCaps/>
      <w:color w:val="2F5496" w:themeColor="accent1" w:themeShade="BF"/>
      <w:spacing w:val="5"/>
    </w:rPr>
  </w:style>
  <w:style w:type="paragraph" w:styleId="Testofumetto">
    <w:name w:val="Balloon Text"/>
    <w:basedOn w:val="Normale"/>
    <w:link w:val="TestofumettoCarattere"/>
    <w:uiPriority w:val="99"/>
    <w:semiHidden/>
    <w:unhideWhenUsed/>
    <w:rsid w:val="00AE5DF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5DF1"/>
    <w:rPr>
      <w:rFonts w:ascii="Segoe UI" w:hAnsi="Segoe UI" w:cs="Segoe UI"/>
      <w:sz w:val="18"/>
      <w:szCs w:val="18"/>
    </w:rPr>
  </w:style>
  <w:style w:type="paragraph" w:styleId="Revisione">
    <w:name w:val="Revision"/>
    <w:hidden/>
    <w:uiPriority w:val="99"/>
    <w:semiHidden/>
    <w:rsid w:val="00CD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1483</Words>
  <Characters>8455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CAVALLO</dc:creator>
  <cp:keywords/>
  <dc:description/>
  <cp:lastModifiedBy>CARLA CAVALLO</cp:lastModifiedBy>
  <cp:revision>2</cp:revision>
  <dcterms:created xsi:type="dcterms:W3CDTF">2025-02-16T19:47:00Z</dcterms:created>
  <dcterms:modified xsi:type="dcterms:W3CDTF">2025-02-16T19:47:00Z</dcterms:modified>
</cp:coreProperties>
</file>